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Д</w:t>
      </w:r>
      <w:r>
        <w:rPr>
          <w:rFonts w:ascii="Arial Nova" w:eastAsia="Arial Nova" w:hAnsi="Arial Nova" w:cs="Arial Nova"/>
          <w:color w:val="000000"/>
        </w:rPr>
        <w:t xml:space="preserve">ата заполнения ______  </w:t>
      </w:r>
      <w:r>
        <w:rPr>
          <w:rFonts w:ascii="Arial Nova" w:eastAsia="Arial Nova" w:hAnsi="Arial Nova" w:cs="Arial Nova"/>
          <w:color w:val="000000"/>
        </w:rPr>
        <w:t>___________________/ 202__</w:t>
      </w:r>
      <w:r>
        <w:rPr>
          <w:rFonts w:ascii="Arial Nova" w:eastAsia="Arial Nova" w:hAnsi="Arial Nova" w:cs="Arial Nova"/>
          <w:color w:val="000000"/>
        </w:rPr>
        <w:t xml:space="preserve">г.                                                                       </w:t>
      </w:r>
    </w:p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00"/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Опросный лист ООО «</w:t>
      </w:r>
      <w:proofErr w:type="spellStart"/>
      <w:r>
        <w:rPr>
          <w:rFonts w:ascii="Arial Nova" w:eastAsia="Arial Nova" w:hAnsi="Arial Nova" w:cs="Arial Nova"/>
          <w:b/>
          <w:color w:val="000000"/>
          <w:sz w:val="24"/>
          <w:szCs w:val="24"/>
        </w:rPr>
        <w:t>АЗС-Доза-Сервис</w:t>
      </w:r>
      <w:proofErr w:type="spellEnd"/>
      <w:r>
        <w:rPr>
          <w:rFonts w:ascii="Arial Nova" w:eastAsia="Arial Nova" w:hAnsi="Arial Nova" w:cs="Arial Nova"/>
          <w:b/>
          <w:color w:val="000000"/>
          <w:sz w:val="24"/>
          <w:szCs w:val="24"/>
        </w:rPr>
        <w:t>»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color w:val="000000"/>
          <w:sz w:val="24"/>
          <w:szCs w:val="24"/>
        </w:rPr>
        <w:t xml:space="preserve">на </w:t>
      </w:r>
      <w:r>
        <w:rPr>
          <w:rFonts w:ascii="Arial Nova" w:eastAsia="Arial Nova" w:hAnsi="Arial Nova" w:cs="Arial Nova"/>
          <w:color w:val="000000"/>
          <w:sz w:val="24"/>
          <w:szCs w:val="24"/>
        </w:rPr>
        <w:t>модульную АЗС</w:t>
      </w:r>
    </w:p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tbl>
      <w:tblPr>
        <w:tblStyle w:val="af2"/>
        <w:tblW w:w="10157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5"/>
        <w:gridCol w:w="7022"/>
      </w:tblGrid>
      <w:tr w:rsidR="00EC1634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EC1634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Ф.И.О. представителя 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EC1634">
        <w:trPr>
          <w:trHeight w:val="31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Объект проектирования или строительства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EC1634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Телефон                                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  <w:highlight w:val="yellow"/>
              </w:rPr>
            </w:pPr>
          </w:p>
        </w:tc>
      </w:tr>
      <w:tr w:rsidR="00EC1634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2"/>
          <w:szCs w:val="22"/>
        </w:rPr>
      </w:pP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Характеристики АЗС</w:t>
      </w:r>
    </w:p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4"/>
          <w:szCs w:val="24"/>
        </w:rPr>
      </w:pPr>
    </w:p>
    <w:tbl>
      <w:tblPr>
        <w:tblStyle w:val="af3"/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  <w:gridCol w:w="1701"/>
      </w:tblGrid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              Технические требования и 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Задание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2</w:t>
            </w: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Назначение АЗС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Для коммерческого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Для внутриведомственного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Тип АЗС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Контейнерная (со встроенными ТРК)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Модульная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(с выносными ТРК, потребуется проект, строительные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Расположение АЗС**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На территории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 территории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Характеристика резервуара АЗС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Общая вместимость АЗС,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секций,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Вместимость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отдельных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секции,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видов хранимого топлива,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Виды топлива (Дт, Аи92, Аи95)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Объем хранения для каждого вида топлива,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Автоматическая система контроля герметичности резервуара </w:t>
            </w: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(датчик СЕНС ПД)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Электрический обогрев (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нужное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подчеркнуть)</w:t>
            </w:r>
          </w:p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всего объема нефтепродуктов/ - трубопроводов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Термоизоляция ППУ 50мм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Наполнение резервуара топливом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узлов наполнения МС-2Н (УН-80) в комплекте с ФС80, с насосом КМ-80-65-140Е,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Узел с насосом устанавливается в технологическом отсеке с ТРК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Выдача нефтепродуктов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Общее количество ТРК,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ТРК в одном технологическом отсеке,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Количество рукавов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отдельной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ТРК,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Производительность ТРК, л/мин (50*, 80, 130, ___)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Длина рукава,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Диаметр рукава (для 50л/мин-16*,19, для 80л/мин-19,25),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9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Тип отпуска топлива и системы учета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С кнопки ТРК (учет в рукописном журнале)*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Ручной с пультов управления 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(учет в рукописном журнале)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Автоматизированный с ПК 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(в комплекте ПК+ПО)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Без операторный, с терминала по картам с передачей информации в офис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Автоматический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, с терминала самообслуживания ТСО </w:t>
            </w:r>
          </w:p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(банковские карты, топливные карты, наличные)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Способ измерения уровня топлива в резервуарах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Вручную метрштоком *</w:t>
            </w:r>
          </w:p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(на каждую секцию резервуара устанавливается датчик верхнего налива ПМП-185 и комплект вторичных приборов (блок питания и коммутации БПК-220В-4Р-ГС-1А-ВЗ1,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оповещатель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 охранно-пожарный комбинированный ВС-5М-К-ГС)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Автоматическим уровнемером </w:t>
            </w:r>
          </w:p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(на каждую секцию резервуара устанавливается ПМП-201 (уровень, температура, плотность, раздел сред) и комплект вторичных приборов (блок питания и коммутации БПК-220В-4Р-ГС-1А-ВЗ1,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оповещатель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 охранно-пожарный комбинированный ВС-5М-К-ГС, сигнализатор для ин</w:t>
            </w: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дикации параметров МСК 500-3-ВЗ) + адаптер лин-RS485/232)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Система пожаротушения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Автоматический модуль порошковый Буран-2,5Взр*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Автоматическая система пожаротушения с системой оповещения (Порошковые модули Буран-2,5Взр, датчики пламени, контроллер «Яхонт»)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Ящик для песка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Исполнение АЗС 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 виде резервуара, ТРК под навесом, открытый технологический отсек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 виде резервуара, ТРК в закрытом технологическом отсеке, ворота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профилированным листом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стальным листом 3мм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стеновыми панелями порошковой окраски (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оцинкован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Дополнительное оборудование АЗС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Метршток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Мерник 10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Инструмент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искробезопасный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Аварийный подземный резервуар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Модуль управления (</w:t>
            </w:r>
            <w:proofErr w:type="gramStart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операторная</w:t>
            </w:r>
            <w:proofErr w:type="gramEnd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Наличие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1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Возможность установки дополнительного оборудования (шкафов управления технологическим оборудованием, не связанным с АЗС)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Панель управления (для </w:t>
            </w:r>
            <w:proofErr w:type="gramStart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автоматических</w:t>
            </w:r>
            <w:proofErr w:type="gramEnd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 КАЗС с ТСО)</w:t>
            </w:r>
          </w:p>
        </w:tc>
      </w:tr>
      <w:tr w:rsidR="00EC1634"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Автоматизированная система управления, размещаемая во взрывозащищенных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электрообогреваемых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шкафах в технологических отсеках АЗС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3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Автоматизированная система управления, размещаемая в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электрообогреваемых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шкафах вне технологических отсеков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Условия поставки</w:t>
            </w:r>
          </w:p>
        </w:tc>
      </w:tr>
      <w:tr w:rsidR="00EC163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Пуско-наладочные работы выполняются Поставщиком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Самовывоз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Доставка Автотранспортом силами Поставщика (Адрес склада, объект)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EC163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634" w:rsidRDefault="009F2E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Дополнительные требования к АЗС, не учтенные выше</w:t>
            </w:r>
          </w:p>
        </w:tc>
      </w:tr>
      <w:tr w:rsidR="00EC1634">
        <w:trPr>
          <w:trHeight w:val="9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34" w:rsidRDefault="00EC1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</w:tbl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2"/>
          <w:szCs w:val="22"/>
        </w:rPr>
      </w:pP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* Базовый комплект    </w:t>
      </w:r>
      <w:r>
        <w:rPr>
          <w:rFonts w:ascii="Arial Nova" w:eastAsia="Arial Nova" w:hAnsi="Arial Nova" w:cs="Arial Nova"/>
          <w:color w:val="0000FF"/>
          <w:sz w:val="22"/>
          <w:szCs w:val="22"/>
        </w:rPr>
        <w:t xml:space="preserve">           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В базовый комплект поставки контейнерной и модульной АЗС входят:</w:t>
      </w:r>
      <w:r>
        <w:rPr>
          <w:rFonts w:ascii="Arial Nova" w:eastAsia="Arial Nova" w:hAnsi="Arial Nova" w:cs="Arial Nova"/>
          <w:color w:val="000000"/>
        </w:rPr>
        <w:t xml:space="preserve"> </w:t>
      </w:r>
      <w:r>
        <w:rPr>
          <w:rFonts w:ascii="Arial Nova" w:eastAsia="Arial Nova" w:hAnsi="Arial Nova" w:cs="Arial Nova"/>
          <w:color w:val="000000"/>
        </w:rPr>
        <w:br/>
        <w:t xml:space="preserve">    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АЗС выполняется в виде резервуара, без отделки, ТРК под навесом (козырек), окраска двухкомпонентная эмаль износостойкая, белого цвета.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ограждение верхней площадки и лестница;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сист</w:t>
      </w:r>
      <w:r>
        <w:rPr>
          <w:rFonts w:ascii="Arial Nova" w:eastAsia="Arial Nova" w:hAnsi="Arial Nova" w:cs="Arial Nova"/>
          <w:color w:val="000000"/>
        </w:rPr>
        <w:t>ема деаэрации с дыхательными трубами и дыхательными клапанами;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люки замерные;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lastRenderedPageBreak/>
        <w:t>- предохранительные клапаны;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датчики верхнего уровня с сигнализаторами 90% и 95% уровня топлива;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система контроля герметичности </w:t>
      </w:r>
      <w:proofErr w:type="spellStart"/>
      <w:r>
        <w:rPr>
          <w:rFonts w:ascii="Arial Nova" w:eastAsia="Arial Nova" w:hAnsi="Arial Nova" w:cs="Arial Nova"/>
          <w:color w:val="000000"/>
        </w:rPr>
        <w:t>межстенного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пространства Манометром;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</w:t>
      </w:r>
      <w:proofErr w:type="spellStart"/>
      <w:r>
        <w:rPr>
          <w:rFonts w:ascii="Arial Nova" w:eastAsia="Arial Nova" w:hAnsi="Arial Nova" w:cs="Arial Nova"/>
          <w:color w:val="000000"/>
        </w:rPr>
        <w:t>молни</w:t>
      </w:r>
      <w:r>
        <w:rPr>
          <w:rFonts w:ascii="Arial Nova" w:eastAsia="Arial Nova" w:hAnsi="Arial Nova" w:cs="Arial Nova"/>
          <w:color w:val="000000"/>
        </w:rPr>
        <w:t>езащита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(молниеотвод и контур заземления);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устройство заземления автоцистерн УЗА;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система автоматического пожаротушения Буран-2,5Взр;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</w:t>
      </w:r>
      <w:proofErr w:type="spellStart"/>
      <w:r>
        <w:rPr>
          <w:rFonts w:ascii="Arial Nova" w:eastAsia="Arial Nova" w:hAnsi="Arial Nova" w:cs="Arial Nova"/>
          <w:color w:val="000000"/>
        </w:rPr>
        <w:t>электронасосный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агрегат для наполнения резервуаров КХТ.</w:t>
      </w:r>
    </w:p>
    <w:p w:rsidR="00EC1634" w:rsidRDefault="00EC1634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Times New Roman" w:eastAsia="Times New Roman" w:hAnsi="Times New Roman" w:cs="Times New Roman"/>
          <w:color w:val="000000"/>
        </w:rPr>
      </w:pP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**В соответствии с СП156</w:t>
      </w:r>
      <w:r>
        <w:rPr>
          <w:rFonts w:ascii="Arial Nova" w:eastAsia="Arial Nova" w:hAnsi="Arial Nova" w:cs="Arial Nova"/>
          <w:b/>
          <w:color w:val="000000"/>
        </w:rPr>
        <w:t xml:space="preserve"> общая вместимость резервуаров</w:t>
      </w:r>
      <w:r>
        <w:rPr>
          <w:rFonts w:ascii="Arial Nova" w:eastAsia="Arial Nova" w:hAnsi="Arial Nova" w:cs="Arial Nova"/>
          <w:b/>
          <w:color w:val="000000"/>
        </w:rPr>
        <w:t xml:space="preserve"> </w:t>
      </w:r>
      <w:proofErr w:type="gramStart"/>
      <w:r>
        <w:rPr>
          <w:rFonts w:ascii="Arial Nova" w:eastAsia="Arial Nova" w:hAnsi="Arial Nova" w:cs="Arial Nova"/>
          <w:b/>
          <w:color w:val="000000"/>
        </w:rPr>
        <w:t>контейнерной</w:t>
      </w:r>
      <w:proofErr w:type="gramEnd"/>
      <w:r>
        <w:rPr>
          <w:rFonts w:ascii="Arial Nova" w:eastAsia="Arial Nova" w:hAnsi="Arial Nova" w:cs="Arial Nova"/>
          <w:b/>
          <w:color w:val="000000"/>
        </w:rPr>
        <w:t xml:space="preserve"> АЗС: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 -  при её расположении на территории населенных пунктов должна быть не более 40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, вместимость единичного резервуара (одной камеры) должна быть не более 10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 xml:space="preserve">; 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 при её расположении вне территории населенных пунктов должна быть не более 60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, вместимость единичного резервуара (одной камеры) должна быть не более 20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.</w:t>
      </w:r>
    </w:p>
    <w:p w:rsidR="00EC1634" w:rsidRDefault="009F2E5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      Для </w:t>
      </w:r>
      <w:r w:rsidRPr="009F2E52">
        <w:rPr>
          <w:rFonts w:ascii="Arial Nova" w:eastAsia="Arial Nova" w:hAnsi="Arial Nova" w:cs="Arial Nova"/>
          <w:b/>
          <w:color w:val="000000"/>
        </w:rPr>
        <w:t>модульных АЗС</w:t>
      </w:r>
      <w:r>
        <w:rPr>
          <w:rFonts w:ascii="Arial Nova" w:eastAsia="Arial Nova" w:hAnsi="Arial Nova" w:cs="Arial Nova"/>
          <w:color w:val="000000"/>
        </w:rPr>
        <w:t xml:space="preserve"> общая вместимость резервуаров и вместимость единичных резервуаров может быть </w:t>
      </w:r>
      <w:r w:rsidRPr="009F2E52">
        <w:rPr>
          <w:rFonts w:ascii="Arial Nova" w:eastAsia="Arial Nova" w:hAnsi="Arial Nova" w:cs="Arial Nova"/>
          <w:b/>
          <w:color w:val="000000"/>
        </w:rPr>
        <w:t>увеличена в два раза</w:t>
      </w:r>
      <w:r>
        <w:rPr>
          <w:rFonts w:ascii="Arial Nova" w:eastAsia="Arial Nova" w:hAnsi="Arial Nova" w:cs="Arial Nova"/>
          <w:color w:val="000000"/>
        </w:rPr>
        <w:t>.</w:t>
      </w:r>
    </w:p>
    <w:sectPr w:rsidR="00EC1634" w:rsidSect="00EC1634">
      <w:headerReference w:type="default" r:id="rId7"/>
      <w:footerReference w:type="default" r:id="rId8"/>
      <w:pgSz w:w="11906" w:h="16838"/>
      <w:pgMar w:top="142" w:right="424" w:bottom="680" w:left="426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34" w:rsidRDefault="00EC1634" w:rsidP="00EC1634">
      <w:pPr>
        <w:spacing w:line="240" w:lineRule="auto"/>
        <w:ind w:left="0" w:hanging="2"/>
      </w:pPr>
      <w:r>
        <w:separator/>
      </w:r>
    </w:p>
  </w:endnote>
  <w:endnote w:type="continuationSeparator" w:id="0">
    <w:p w:rsidR="00EC1634" w:rsidRDefault="00EC1634" w:rsidP="00EC16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34" w:rsidRDefault="00EC163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="009F2E52"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9F2E52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F2E52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34" w:rsidRDefault="00EC1634" w:rsidP="00EC1634">
      <w:pPr>
        <w:spacing w:line="240" w:lineRule="auto"/>
        <w:ind w:left="0" w:hanging="2"/>
      </w:pPr>
      <w:r>
        <w:separator/>
      </w:r>
    </w:p>
  </w:footnote>
  <w:footnote w:type="continuationSeparator" w:id="0">
    <w:p w:rsidR="00EC1634" w:rsidRDefault="00EC1634" w:rsidP="00EC16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34" w:rsidRDefault="009F2E52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34"/>
    <w:rsid w:val="009F2E52"/>
    <w:rsid w:val="00E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6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EC1634"/>
    <w:pPr>
      <w:keepNext/>
      <w:spacing w:before="240" w:after="6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EC16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</w:rPr>
  </w:style>
  <w:style w:type="paragraph" w:styleId="3">
    <w:name w:val="heading 3"/>
    <w:basedOn w:val="normal"/>
    <w:next w:val="normal"/>
    <w:rsid w:val="00EC1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1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C1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C163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1634"/>
  </w:style>
  <w:style w:type="table" w:customStyle="1" w:styleId="TableNormal">
    <w:name w:val="Table Normal"/>
    <w:rsid w:val="00EC1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163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C16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C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EC1634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rsid w:val="00EC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EC1634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9">
    <w:name w:val="Document Map"/>
    <w:basedOn w:val="a"/>
    <w:rsid w:val="00EC1634"/>
    <w:rPr>
      <w:rFonts w:ascii="Tahoma" w:hAnsi="Tahoma"/>
      <w:sz w:val="16"/>
      <w:szCs w:val="16"/>
    </w:rPr>
  </w:style>
  <w:style w:type="character" w:customStyle="1" w:styleId="aa">
    <w:name w:val="Схема документа Знак"/>
    <w:rsid w:val="00EC1634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character" w:customStyle="1" w:styleId="10">
    <w:name w:val="Заголовок 1 Знак"/>
    <w:rsid w:val="00EC1634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sid w:val="00EC1634"/>
    <w:rPr>
      <w:rFonts w:ascii="Cambria" w:hAnsi="Cambria"/>
      <w:b/>
      <w:i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character" w:styleId="ab">
    <w:name w:val="Hyperlink"/>
    <w:rsid w:val="00EC16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rsid w:val="00EC1634"/>
    <w:pPr>
      <w:ind w:left="720"/>
    </w:pPr>
  </w:style>
  <w:style w:type="paragraph" w:styleId="ad">
    <w:name w:val="Balloon Text"/>
    <w:basedOn w:val="a"/>
    <w:rsid w:val="00EC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sid w:val="00EC16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">
    <w:name w:val="Normal (Web)"/>
    <w:basedOn w:val="a"/>
    <w:qFormat/>
    <w:rsid w:val="00EC1634"/>
    <w:pPr>
      <w:spacing w:before="100" w:beforeAutospacing="1" w:after="100" w:afterAutospacing="1"/>
    </w:pPr>
  </w:style>
  <w:style w:type="character" w:customStyle="1" w:styleId="af0">
    <w:name w:val="Неразрешенное упоминание"/>
    <w:qFormat/>
    <w:rsid w:val="00EC163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rsid w:val="00EC163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1">
    <w:name w:val="Subtitle"/>
    <w:basedOn w:val="normal"/>
    <w:next w:val="normal"/>
    <w:rsid w:val="00EC1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EC16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C16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ULVZ6+umfYNFLZ5qEgiEPtahw==">AMUW2mUpvKiNz1xgo+0l+f1/exg0uZtIt+Wppt84Lj84my7mElv+ExglmgcLY5huW1BVIiojpTkItNJnwBihUMmS4OYM3HZ+ErynU8IZsu8nPtlsjREf4BBydpdhDXzkZks00ZAPojNo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АлтайСпецИзделия</dc:creator>
  <cp:lastModifiedBy>Пользователь</cp:lastModifiedBy>
  <cp:revision>2</cp:revision>
  <dcterms:created xsi:type="dcterms:W3CDTF">2021-01-25T10:11:00Z</dcterms:created>
  <dcterms:modified xsi:type="dcterms:W3CDTF">2023-09-25T03:59:00Z</dcterms:modified>
</cp:coreProperties>
</file>